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 06</w:t>
      </w:r>
    </w:p>
    <w:p>
      <w:pPr>
        <w:pStyle w:val="Subtitle"/>
      </w:pPr>
      <w:r>
        <w:t xml:space="preserve">PUBH 8878</w:t>
      </w:r>
    </w:p>
    <w:bookmarkStart w:id="20" w:name="Xbd25d2de94d340ced04d15cf98f7022822280bc"/>
    <w:p>
      <w:pPr>
        <w:pStyle w:val="Heading2"/>
      </w:pPr>
      <w:r>
        <w:t xml:space="preserve">Part 1: Instrumental Variable (IV) assumptions in Mendelian randomization (MR) (25 pts)</w:t>
      </w:r>
    </w:p>
    <w:p>
      <w:pPr>
        <w:pStyle w:val="FirstParagraph"/>
      </w:pPr>
      <w:r>
        <w:rPr>
          <w:b/>
          <w:bCs/>
        </w:rPr>
        <w:t xml:space="preserve">1.1.</w:t>
      </w:r>
      <w:r>
        <w:t xml:space="preserve"> </w:t>
      </w:r>
      <w:r>
        <w:t xml:space="preserve">Define the IV conditions for MR and explain why only IV1 is directly testable, while IV2–IV3 can be falsified but not proved.</w:t>
      </w:r>
    </w:p>
    <w:p>
      <w:pPr>
        <w:numPr>
          <w:ilvl w:val="0"/>
          <w:numId w:val="1001"/>
        </w:numPr>
      </w:pPr>
      <w:r>
        <w:t xml:space="preserve">Relevance (IV1)</w:t>
      </w:r>
    </w:p>
    <w:p>
      <w:pPr>
        <w:numPr>
          <w:ilvl w:val="0"/>
          <w:numId w:val="1001"/>
        </w:numPr>
      </w:pPr>
      <w:r>
        <w:t xml:space="preserve">Exchangeability (IV2)</w:t>
      </w:r>
    </w:p>
    <w:p>
      <w:pPr>
        <w:numPr>
          <w:ilvl w:val="0"/>
          <w:numId w:val="1001"/>
        </w:numPr>
      </w:pPr>
      <w:r>
        <w:t xml:space="preserve">Exclusion restriction (IV3)</w:t>
      </w:r>
    </w:p>
    <w:p>
      <w:pPr>
        <w:pStyle w:val="FirstParagraph"/>
      </w:pPr>
      <w:r>
        <w:rPr>
          <w:b/>
          <w:bCs/>
        </w:rPr>
        <w:t xml:space="preserve">1.2.</w:t>
      </w:r>
      <w:r>
        <w:t xml:space="preserve"> </w:t>
      </w:r>
      <w:r>
        <w:t xml:space="preserve">What additional condition is needed to point‑identify a causal effect from MR beyond IV1–IV3? Contrast homogeneity vs monotonicity/LATE, and state the estimand under each.</w:t>
      </w:r>
    </w:p>
    <w:p>
      <w:pPr>
        <w:pStyle w:val="BodyText"/>
      </w:pPr>
      <w:r>
        <w:rPr>
          <w:b/>
          <w:bCs/>
        </w:rPr>
        <w:t xml:space="preserve">1.3.</w:t>
      </w:r>
      <w:r>
        <w:t xml:space="preserve"> </w:t>
      </w:r>
      <w:r>
        <w:t xml:space="preserve">Distinguish</w:t>
      </w:r>
      <w:r>
        <w:t xml:space="preserve"> </w:t>
      </w:r>
      <w:r>
        <w:rPr>
          <w:b/>
          <w:bCs/>
        </w:rPr>
        <w:t xml:space="preserve">horizontal pleiotropy</w:t>
      </w:r>
      <w:r>
        <w:t xml:space="preserve"> </w:t>
      </w:r>
      <w:r>
        <w:t xml:space="preserve">(biasing vs non‑biasing),</w:t>
      </w:r>
      <w:r>
        <w:t xml:space="preserve"> </w:t>
      </w:r>
      <w:r>
        <w:rPr>
          <w:b/>
          <w:bCs/>
        </w:rPr>
        <w:t xml:space="preserve">vertical pleiotropy</w:t>
      </w:r>
      <w:r>
        <w:t xml:space="preserve">,</w:t>
      </w:r>
      <w:r>
        <w:t xml:space="preserve"> </w:t>
      </w:r>
      <w:r>
        <w:rPr>
          <w:b/>
          <w:bCs/>
        </w:rPr>
        <w:t xml:space="preserve">LD confounding</w:t>
      </w:r>
      <w:r>
        <w:t xml:space="preserve">, and</w:t>
      </w:r>
      <w:r>
        <w:t xml:space="preserve"> </w:t>
      </w:r>
      <w:r>
        <w:rPr>
          <w:b/>
          <w:bCs/>
        </w:rPr>
        <w:t xml:space="preserve">correlated pleiotropy</w:t>
      </w:r>
      <w:r>
        <w:t xml:space="preserve">. For each, state whether IV3 (or IV2) is violated and why.</w:t>
      </w:r>
    </w:p>
    <w:p>
      <w:pPr>
        <w:pStyle w:val="BodyText"/>
      </w:pPr>
      <w:r>
        <w:rPr>
          <w:b/>
          <w:bCs/>
        </w:rPr>
        <w:t xml:space="preserve">1.4</w:t>
      </w:r>
      <w:r>
        <w:t xml:space="preserve"> </w:t>
      </w:r>
      <w:r>
        <w:t xml:space="preserve">Define</w:t>
      </w:r>
      <w:r>
        <w:t xml:space="preserve"> </w:t>
      </w:r>
      <w:r>
        <w:rPr>
          <w:b/>
          <w:bCs/>
        </w:rPr>
        <w:t xml:space="preserve">gene-environment equivalence</w:t>
      </w:r>
      <w:r>
        <w:t xml:space="preserve"> </w:t>
      </w:r>
      <w:r>
        <w:t xml:space="preserve">and</w:t>
      </w:r>
      <w:r>
        <w:t xml:space="preserve"> </w:t>
      </w:r>
      <w:r>
        <w:rPr>
          <w:b/>
          <w:bCs/>
        </w:rPr>
        <w:t xml:space="preserve">selection/survivor bias</w:t>
      </w:r>
      <w:r>
        <w:t xml:space="preserve"> </w:t>
      </w:r>
      <w:r>
        <w:t xml:space="preserve">in MR. Discuss implications for interpretation of MR estimates.</w:t>
      </w:r>
    </w:p>
    <w:bookmarkEnd w:id="20"/>
    <w:bookmarkStart w:id="25" w:name="part-2-dags-25-pts"/>
    <w:p>
      <w:pPr>
        <w:pStyle w:val="Heading2"/>
      </w:pPr>
      <w:r>
        <w:t xml:space="preserve">Part 2: DAGS (25 pts)</w:t>
      </w:r>
    </w:p>
    <w:p>
      <w:pPr>
        <w:pStyle w:val="FirstParagraph"/>
      </w:pPr>
      <w:r>
        <w:rPr>
          <w:b/>
          <w:bCs/>
        </w:rPr>
        <w:t xml:space="preserve">2.1.</w:t>
      </w:r>
      <w:r>
        <w:t xml:space="preserve"> </w:t>
      </w:r>
      <w:r>
        <w:t xml:space="preserve">Explain why this DAG violates IV3 and which sensitivity estimators are intended to be robust in this scenario.</w:t>
      </w:r>
    </w:p>
    <w:bookmarkStart w:id="24" w:name="dag-pleiotropy"/>
    <w:p>
      <w:pPr>
        <w:pStyle w:val="BodyText"/>
      </w:pPr>
      <w:r>
        <w:drawing>
          <wp:inline>
            <wp:extent cx="2670048" cy="1737359"/>
            <wp:effectExtent b="0" l="0" r="0" t="0"/>
            <wp:docPr descr="" title="" id="22" name="Picture"/>
            <a:graphic>
              <a:graphicData uri="http://schemas.openxmlformats.org/drawingml/2006/picture">
                <pic:pic>
                  <pic:nvPicPr>
                    <pic:cNvPr descr="assignment-06_files/figure-docx/mermaid-figure-2.png" id="23" name="Picture"/>
                    <pic:cNvPicPr>
                      <a:picLocks noChangeArrowheads="1" noChangeAspect="1"/>
                    </pic:cNvPicPr>
                  </pic:nvPicPr>
                  <pic:blipFill>
                    <a:blip r:embed="rId21"/>
                    <a:stretch>
                      <a:fillRect/>
                    </a:stretch>
                  </pic:blipFill>
                  <pic:spPr bwMode="auto">
                    <a:xfrm>
                      <a:off x="0" y="0"/>
                      <a:ext cx="2670048" cy="1737359"/>
                    </a:xfrm>
                    <a:prstGeom prst="rect">
                      <a:avLst/>
                    </a:prstGeom>
                    <a:noFill/>
                    <a:ln w="9525">
                      <a:noFill/>
                      <a:headEnd/>
                      <a:tailEnd/>
                    </a:ln>
                  </pic:spPr>
                </pic:pic>
              </a:graphicData>
            </a:graphic>
          </wp:inline>
        </w:drawing>
      </w:r>
    </w:p>
    <w:bookmarkEnd w:id="24"/>
    <w:p>
      <w:pPr>
        <w:pStyle w:val="BodyText"/>
      </w:pPr>
      <w:r>
        <w:rPr>
          <w:b/>
          <w:bCs/>
        </w:rPr>
        <w:t xml:space="preserve">2.2.</w:t>
      </w:r>
      <w:r>
        <w:t xml:space="preserve"> </w:t>
      </w:r>
      <w:r>
        <w:t xml:space="preserve">Consider the task of estimating the causal effect of alcohol consumption on blood pressure. Look up one GWAS for alcohol consumption. Identify one potential genetic instrument (SNP) from the alcohol GWAS, and draw a DAG including this SNP, alcohol consumption, blood pressure, and at least two potential confounders (measured or unmeasured). Discuss which IV assumptions may be violated and why. Cite your sources.</w:t>
      </w:r>
    </w:p>
    <w:bookmarkEnd w:id="25"/>
    <w:bookmarkStart w:id="27" w:name="part-3-tsls-25-pts"/>
    <w:p>
      <w:pPr>
        <w:pStyle w:val="Heading2"/>
      </w:pPr>
      <w:r>
        <w:t xml:space="preserve">Part 3: TSLS (25 pts)</w:t>
      </w:r>
    </w:p>
    <w:p>
      <w:pPr>
        <w:pStyle w:val="FirstParagraph"/>
      </w:pPr>
      <w:r>
        <w:t xml:space="preserve">Reproduce and extend the lecture’s 2SLS simulation.</w:t>
      </w:r>
    </w:p>
    <w:bookmarkStart w:id="26" w:name="datagenerating-process-dgp"/>
    <w:p>
      <w:pPr>
        <w:pStyle w:val="Heading3"/>
      </w:pPr>
      <w:r>
        <w:t xml:space="preserve">Data‑generating process (DGP)</w:t>
      </w:r>
    </w:p>
    <w:p>
      <w:pPr>
        <w:pStyle w:val="FirstParagraph"/>
      </w:pPr>
    </w:p>
    <w:p>
      <w:pPr>
        <w:pStyle w:val="BodyText"/>
      </w:pPr>
      <w:r>
        <w:t xml:space="preserve">Use</w:t>
      </w:r>
      <w:r>
        <w:t xml:space="preserve"> </w:t>
      </w:r>
      <m:oMath>
        <m:r>
          <m:t>β</m:t>
        </m:r>
        <m:r>
          <m:rPr>
            <m:sty m:val="p"/>
          </m:rPr>
          <m:t>=</m:t>
        </m:r>
        <m:r>
          <m:t>1.5</m:t>
        </m:r>
      </m:oMath>
      <w:r>
        <w:t xml:space="preserve">,</w:t>
      </w:r>
      <w:r>
        <w:t xml:space="preserve"> </w:t>
      </w:r>
      <m:oMath>
        <m:r>
          <m:t>θ</m:t>
        </m:r>
        <m:r>
          <m:rPr>
            <m:sty m:val="p"/>
          </m:rPr>
          <m:t>=</m:t>
        </m:r>
        <m:r>
          <m:t>0.8</m:t>
        </m:r>
      </m:oMath>
      <w:r>
        <w:t xml:space="preserve">,</w:t>
      </w:r>
      <w:r>
        <w:t xml:space="preserve"> </w:t>
      </w:r>
      <m:oMath>
        <m:r>
          <m:t>λ</m:t>
        </m:r>
        <m:r>
          <m:rPr>
            <m:sty m:val="p"/>
          </m:rPr>
          <m:t>=</m:t>
        </m:r>
        <m:r>
          <m:t>0.9</m:t>
        </m:r>
      </m:oMath>
      <w:r>
        <w:t xml:space="preserve">,</w:t>
      </w:r>
      <w:r>
        <w:t xml:space="preserve"> </w:t>
      </w:r>
      <m:oMath>
        <m:r>
          <m:t>α</m:t>
        </m:r>
        <m:r>
          <m:rPr>
            <m:sty m:val="p"/>
          </m:rPr>
          <m:t>=</m:t>
        </m:r>
        <m:r>
          <m:t>1.0</m:t>
        </m:r>
      </m:oMath>
      <w:r>
        <w:t xml:space="preserve">,</w:t>
      </w:r>
      <w:r>
        <w:t xml:space="preserve"> </w:t>
      </w:r>
      <m:oMath>
        <m:r>
          <m:t>n</m:t>
        </m:r>
        <m:r>
          <m:rPr>
            <m:sty m:val="p"/>
          </m:rPr>
          <m:t>=</m:t>
        </m:r>
        <m:r>
          <m:t>2</m:t>
        </m:r>
        <m:r>
          <m:rPr>
            <m:sty m:val="p"/>
          </m:rPr>
          <m:t>,</m:t>
        </m:r>
        <m:r>
          <m:t>000</m:t>
        </m:r>
      </m:oMath>
      <w:r>
        <w:t xml:space="preserve">.</w:t>
      </w:r>
    </w:p>
    <w:p>
      <w:pPr>
        <w:pStyle w:val="BodyText"/>
      </w:pPr>
      <w:r>
        <w:rPr>
          <w:b/>
          <w:bCs/>
        </w:rPr>
        <w:t xml:space="preserve">3.1.</w:t>
      </w:r>
      <w:r>
        <w:t xml:space="preserve"> </w:t>
      </w:r>
      <w:r>
        <w:t xml:space="preserve">Fit OLS</w:t>
      </w:r>
      <w:r>
        <w:t xml:space="preserve"> </w:t>
      </w:r>
      <m:oMath>
        <m:r>
          <m:t>Y</m:t>
        </m:r>
        <m:r>
          <m:rPr>
            <m:sty m:val="p"/>
          </m:rPr>
          <m:t>∼</m:t>
        </m:r>
        <m:r>
          <m:t>X</m:t>
        </m:r>
      </m:oMath>
      <w:r>
        <w:t xml:space="preserve"> </w:t>
      </w:r>
      <w:r>
        <w:t xml:space="preserve">and 2SLS using manual TSLS. Report</w:t>
      </w:r>
      <w:r>
        <w:t xml:space="preserve"> </w:t>
      </w:r>
      <m:oMath>
        <m:acc>
          <m:accPr>
            <m:chr m:val="̂"/>
          </m:accPr>
          <m:e>
            <m:r>
              <m:t>β</m:t>
            </m:r>
          </m:e>
        </m:acc>
      </m:oMath>
      <w:r>
        <w:t xml:space="preserve"> </w:t>
      </w:r>
      <w:r>
        <w:t xml:space="preserve">from OLS and 2SLS and the first‑stage</w:t>
      </w:r>
      <w:r>
        <w:t xml:space="preserve"> </w:t>
      </w:r>
      <m:oMath>
        <m:r>
          <m:t>F</m:t>
        </m:r>
      </m:oMath>
      <w:r>
        <w:t xml:space="preserve">‑statistic** of</w:t>
      </w:r>
      <w:r>
        <w:t xml:space="preserve"> </w:t>
      </w:r>
      <w:r>
        <w:rPr>
          <w:rStyle w:val="VerbatimChar"/>
        </w:rPr>
        <w:t xml:space="preserve">X ~ Z</w:t>
      </w:r>
      <w:r>
        <w:t xml:space="preserve">. Comment on bias in OLS vs 2SLS, and the strength of the instrument.</w:t>
      </w:r>
    </w:p>
    <w:p>
      <w:pPr>
        <w:pStyle w:val="BodyText"/>
      </w:pPr>
      <w:r>
        <w:rPr>
          <w:b/>
          <w:bCs/>
        </w:rPr>
        <w:t xml:space="preserve">3.2.</w:t>
      </w:r>
      <w:r>
        <w:t xml:space="preserve"> </w:t>
      </w:r>
      <w:r>
        <w:t xml:space="preserve">Vary instrument strength:</w:t>
      </w:r>
      <w:r>
        <w:t xml:space="preserve"> </w:t>
      </w:r>
      <m:oMath>
        <m:r>
          <m:t>θ</m:t>
        </m:r>
      </m:oMath>
      <w:r>
        <w:t xml:space="preserve"> </w:t>
      </w:r>
      <w:r>
        <w:t xml:space="preserve">from 0.05 to 1.5. Simulate</w:t>
      </w:r>
      <w:r>
        <w:t xml:space="preserve"> </w:t>
      </w:r>
      <m:oMath>
        <m:r>
          <m:t>R</m:t>
        </m:r>
        <m:r>
          <m:rPr>
            <m:sty m:val="p"/>
          </m:rPr>
          <m:t>=</m:t>
        </m:r>
        <m:r>
          <m:t>200</m:t>
        </m:r>
      </m:oMath>
      <w:r>
        <w:t xml:space="preserve"> </w:t>
      </w:r>
      <w:r>
        <w:t xml:space="preserve">replicates at</w:t>
      </w:r>
      <w:r>
        <w:t xml:space="preserve"> </w:t>
      </w:r>
      <m:oMath>
        <m:r>
          <m:t>n</m:t>
        </m:r>
        <m:r>
          <m:rPr>
            <m:sty m:val="p"/>
          </m:rPr>
          <m:t>=</m:t>
        </m:r>
        <m:r>
          <m:t>1000</m:t>
        </m:r>
      </m:oMath>
      <w:r>
        <w:t xml:space="preserve"> </w:t>
      </w:r>
      <w:r>
        <w:t xml:space="preserve">each, and summarize the mean 2SLS</w:t>
      </w:r>
      <w:r>
        <w:t xml:space="preserve"> </w:t>
      </w:r>
      <m:oMath>
        <m:acc>
          <m:accPr>
            <m:chr m:val="̂"/>
          </m:accPr>
          <m:e>
            <m:r>
              <m:t>β</m:t>
            </m:r>
          </m:e>
        </m:acc>
      </m:oMath>
      <w:r>
        <w:t xml:space="preserve"> </w:t>
      </w:r>
      <w:r>
        <w:t xml:space="preserve">(with 2.5–97.5% quantiles) and mean OLS</w:t>
      </w:r>
      <w:r>
        <w:t xml:space="preserve"> </w:t>
      </w:r>
      <m:oMath>
        <m:acc>
          <m:accPr>
            <m:chr m:val="̂"/>
          </m:accPr>
          <m:e>
            <m:r>
              <m:t>β</m:t>
            </m:r>
          </m:e>
        </m:acc>
      </m:oMath>
      <w:r>
        <w:t xml:space="preserve"> </w:t>
      </w:r>
      <w:r>
        <w:t xml:space="preserve">across</w:t>
      </w:r>
      <w:r>
        <w:t xml:space="preserve"> </w:t>
      </w:r>
      <m:oMath>
        <m:r>
          <m:t>θ</m:t>
        </m:r>
      </m:oMath>
      <w:r>
        <w:t xml:space="preserve">. Plot</w:t>
      </w:r>
      <w:r>
        <w:t xml:space="preserve"> </w:t>
      </w:r>
      <m:oMath>
        <m:sSub>
          <m:e>
            <m:acc>
              <m:accPr>
                <m:chr m:val="̂"/>
              </m:accPr>
              <m:e>
                <m:r>
                  <m:t>β</m:t>
                </m:r>
              </m:e>
            </m:acc>
          </m:e>
          <m:sub>
            <m:r>
              <m:rPr>
                <m:nor/>
                <m:sty m:val="p"/>
              </m:rPr>
              <m:t>TSLS</m:t>
            </m:r>
          </m:sub>
        </m:sSub>
      </m:oMath>
      <w:r>
        <w:t xml:space="preserve"> </w:t>
      </w:r>
      <w:r>
        <w:t xml:space="preserve">vs</w:t>
      </w:r>
      <w:r>
        <w:t xml:space="preserve"> </w:t>
      </w:r>
      <m:oMath>
        <m:r>
          <m:t>θ</m:t>
        </m:r>
      </m:oMath>
      <w:r>
        <w:t xml:space="preserve"> </w:t>
      </w:r>
      <w:r>
        <w:t xml:space="preserve">with a ribbon. Interpret: how do weak instruments (small</w:t>
      </w:r>
      <w:r>
        <w:t xml:space="preserve"> </w:t>
      </w:r>
      <m:oMath>
        <m:r>
          <m:t>θ</m:t>
        </m:r>
      </m:oMath>
      <w:r>
        <w:t xml:space="preserve">) affect bias and variance?</w:t>
      </w:r>
    </w:p>
    <w:p>
      <w:pPr>
        <w:pStyle w:val="BodyText"/>
      </w:pPr>
      <w:r>
        <w:rPr>
          <w:b/>
          <w:bCs/>
        </w:rPr>
        <w:t xml:space="preserve">3.3.</w:t>
      </w:r>
      <w:r>
        <w:t xml:space="preserve"> </w:t>
      </w:r>
      <w:r>
        <w:t xml:space="preserve">Add a direct violation of IV3 by modifying the DGP to</w:t>
      </w:r>
      <w:r>
        <w:t xml:space="preserve"> </w:t>
      </w:r>
      <m:oMath>
        <m:r>
          <m:t>Y</m:t>
        </m:r>
        <m:r>
          <m:rPr>
            <m:sty m:val="p"/>
          </m:rPr>
          <m:t>=</m:t>
        </m:r>
        <m:r>
          <m:t>β</m:t>
        </m:r>
        <m:r>
          <m:t>X</m:t>
        </m:r>
        <m:r>
          <m:rPr>
            <m:sty m:val="p"/>
          </m:rPr>
          <m:t>+</m:t>
        </m:r>
        <m:r>
          <m:t>α</m:t>
        </m:r>
        <m:r>
          <m:t>U</m:t>
        </m:r>
        <m:r>
          <m:rPr>
            <m:sty m:val="p"/>
          </m:rPr>
          <m:t>+</m:t>
        </m:r>
        <m:r>
          <m:t>δ</m:t>
        </m:r>
        <m:r>
          <m:t>Z</m:t>
        </m:r>
        <m:r>
          <m:rPr>
            <m:sty m:val="p"/>
          </m:rPr>
          <m:t>+</m:t>
        </m:r>
        <m:sSub>
          <m:e>
            <m:r>
              <m:t>ε</m:t>
            </m:r>
          </m:e>
          <m:sub>
            <m:r>
              <m:t>y</m:t>
            </m:r>
          </m:sub>
        </m:sSub>
      </m:oMath>
      <w:r>
        <w:t xml:space="preserve"> </w:t>
      </w:r>
      <w:r>
        <w:t xml:space="preserve">with</w:t>
      </w:r>
      <w:r>
        <w:t xml:space="preserve"> </w:t>
      </w:r>
      <m:oMath>
        <m:r>
          <m:t>δ</m:t>
        </m:r>
      </m:oMath>
      <w:r>
        <w:t xml:space="preserve"> </w:t>
      </w:r>
      <w:r>
        <w:t xml:space="preserve">ranging from 0 to 0.3. Fix</w:t>
      </w:r>
      <w:r>
        <w:t xml:space="preserve"> </w:t>
      </w:r>
      <m:oMath>
        <m:r>
          <m:t>θ</m:t>
        </m:r>
      </m:oMath>
      <w:r>
        <w:t xml:space="preserve"> </w:t>
      </w:r>
      <w:r>
        <w:t xml:space="preserve">= 0.8 and compare 2SLS</w:t>
      </w:r>
      <w:r>
        <w:t xml:space="preserve"> </w:t>
      </w:r>
      <m:oMath>
        <m:acc>
          <m:accPr>
            <m:chr m:val="̂"/>
          </m:accPr>
          <m:e>
            <m:r>
              <m:t>β</m:t>
            </m:r>
          </m:e>
        </m:acc>
      </m:oMath>
      <w:r>
        <w:t xml:space="preserve"> </w:t>
      </w:r>
      <w:r>
        <w:t xml:space="preserve">across</w:t>
      </w:r>
      <w:r>
        <w:t xml:space="preserve"> </w:t>
      </w:r>
      <m:oMath>
        <m:r>
          <m:t>δ</m:t>
        </m:r>
      </m:oMath>
      <w:r>
        <w:t xml:space="preserve"> </w:t>
      </w:r>
      <w:r>
        <w:t xml:space="preserve">values. Explain why 2SLS is biased when exclusion fails.</w:t>
      </w:r>
    </w:p>
    <w:bookmarkEnd w:id="26"/>
    <w:bookmarkEnd w:id="27"/>
    <w:bookmarkStart w:id="28" w:name="X1b17483db6bc06408e5d468a14842f64624be00"/>
    <w:p>
      <w:pPr>
        <w:pStyle w:val="Heading2"/>
      </w:pPr>
      <w:r>
        <w:t xml:space="preserve">Part 4: Exchangeability threats and mitigation (25 pts)</w:t>
      </w:r>
    </w:p>
    <w:p>
      <w:pPr>
        <w:pStyle w:val="FirstParagraph"/>
      </w:pPr>
      <w:r>
        <w:rPr>
          <w:b/>
          <w:bCs/>
        </w:rPr>
        <w:t xml:space="preserve">4.1</w:t>
      </w:r>
      <w:r>
        <w:t xml:space="preserve"> </w:t>
      </w:r>
      <w:r>
        <w:t xml:space="preserve">define population stratification, dynastic effects, and assortative mating. For each, state whether IV2 is threatened and one design/analysis strategy to mitigate the threat.</w:t>
      </w:r>
    </w:p>
    <w:p>
      <w:pPr>
        <w:pStyle w:val="BodyText"/>
      </w:pPr>
      <w:r>
        <w:rPr>
          <w:b/>
          <w:bCs/>
        </w:rPr>
        <w:t xml:space="preserve">4.2</w:t>
      </w:r>
      <w:r>
        <w:t xml:space="preserve"> </w:t>
      </w:r>
      <w:r>
        <w:t xml:space="preserve">Generate a group indicator</w:t>
      </w:r>
      <w:r>
        <w:t xml:space="preserve"> </w:t>
      </w:r>
      <m:oMath>
        <m:r>
          <m:t>S</m:t>
        </m:r>
        <m:r>
          <m:rPr>
            <m:sty m:val="p"/>
          </m:rPr>
          <m:t>∈</m:t>
        </m:r>
        <m:r>
          <m:rPr>
            <m:sty m:val="p"/>
          </m:rPr>
          <m:t>{</m:t>
        </m:r>
        <m:r>
          <m:t>0</m:t>
        </m:r>
        <m:r>
          <m:rPr>
            <m:sty m:val="p"/>
          </m:rPr>
          <m:t>,</m:t>
        </m:r>
        <m:r>
          <m:t>1</m:t>
        </m:r>
        <m:r>
          <m:rPr>
            <m:sty m:val="p"/>
          </m:rPr>
          <m:t>}</m:t>
        </m:r>
      </m:oMath>
      <w:r>
        <w:t xml:space="preserve"> </w:t>
      </w:r>
      <w:r>
        <w:t xml:space="preserve">with</w:t>
      </w:r>
      <w:r>
        <w:t xml:space="preserve"> </w:t>
      </w:r>
      <m:oMath>
        <m:r>
          <m:rPr>
            <m:nor/>
            <m:sty m:val="p"/>
          </m:rPr>
          <m:t>Pr</m:t>
        </m:r>
        <m:d>
          <m:dPr>
            <m:begChr m:val="("/>
            <m:sepChr m:val=""/>
            <m:endChr m:val=")"/>
            <m:grow/>
          </m:dPr>
          <m:e>
            <m:r>
              <m:t>S</m:t>
            </m:r>
            <m:r>
              <m:rPr>
                <m:sty m:val="p"/>
              </m:rPr>
              <m:t>=</m:t>
            </m:r>
            <m:r>
              <m:t>1</m:t>
            </m:r>
          </m:e>
        </m:d>
        <m:r>
          <m:rPr>
            <m:sty m:val="p"/>
          </m:rPr>
          <m:t>=</m:t>
        </m:r>
        <m:r>
          <m:t>0.5</m:t>
        </m:r>
      </m:oMath>
      <w:r>
        <w:t xml:space="preserve">. Let:</w:t>
      </w:r>
    </w:p>
    <w:p>
      <w:pPr>
        <w:pStyle w:val="Compact"/>
        <w:numPr>
          <w:ilvl w:val="0"/>
          <w:numId w:val="1002"/>
        </w:numPr>
      </w:pPr>
      <m:oMath>
        <m:r>
          <m:t>G</m:t>
        </m:r>
        <m:r>
          <m:rPr>
            <m:sty m:val="p"/>
          </m:rPr>
          <m:t>∼</m:t>
        </m:r>
        <m:r>
          <m:rPr>
            <m:sty m:val="p"/>
          </m:rPr>
          <m:t>B</m:t>
        </m:r>
        <m:r>
          <m:rPr>
            <m:sty m:val="p"/>
          </m:rPr>
          <m:t>e</m:t>
        </m:r>
        <m:r>
          <m:rPr>
            <m:sty m:val="p"/>
          </m:rPr>
          <m:t>r</m:t>
        </m:r>
        <m:r>
          <m:rPr>
            <m:sty m:val="p"/>
          </m:rPr>
          <m:t>n</m:t>
        </m:r>
        <m:r>
          <m:rPr>
            <m:sty m:val="p"/>
          </m:rPr>
          <m:t>o</m:t>
        </m:r>
        <m:r>
          <m:rPr>
            <m:sty m:val="p"/>
          </m:rPr>
          <m:t>u</m:t>
        </m:r>
        <m:r>
          <m:rPr>
            <m:sty m:val="p"/>
          </m:rPr>
          <m:t>l</m:t>
        </m:r>
        <m:r>
          <m:rPr>
            <m:sty m:val="p"/>
          </m:rPr>
          <m:t>l</m:t>
        </m:r>
        <m:r>
          <m:rPr>
            <m:sty m:val="p"/>
          </m:rPr>
          <m:t>i</m:t>
        </m:r>
        <m:d>
          <m:dPr>
            <m:begChr m:val="("/>
            <m:sepChr m:val=""/>
            <m:endChr m:val=")"/>
            <m:grow/>
          </m:dPr>
          <m:e>
            <m:r>
              <m:t>0.5</m:t>
            </m:r>
            <m:r>
              <m:rPr>
                <m:sty m:val="p"/>
              </m:rPr>
              <m:t>+</m:t>
            </m:r>
            <m:r>
              <m:t>0.15</m:t>
            </m:r>
            <m:r>
              <m:rPr>
                <m:sty m:val="p"/>
              </m:rPr>
              <m:t>⋅</m:t>
            </m:r>
            <m:d>
              <m:dPr>
                <m:begChr m:val="("/>
                <m:sepChr m:val=""/>
                <m:endChr m:val=")"/>
                <m:grow/>
              </m:dPr>
              <m:e>
                <m:r>
                  <m:t>S</m:t>
                </m:r>
                <m:r>
                  <m:rPr>
                    <m:sty m:val="p"/>
                  </m:rPr>
                  <m:t>−</m:t>
                </m:r>
                <m:r>
                  <m:t>0.5</m:t>
                </m:r>
              </m:e>
            </m:d>
          </m:e>
        </m:d>
        <m:r>
          <m:rPr>
            <m:sty m:val="p"/>
          </m:rPr>
          <m:t>)</m:t>
        </m:r>
      </m:oMath>
      <w:r>
        <w:t xml:space="preserve"> </w:t>
      </w:r>
      <w:r>
        <w:t xml:space="preserve">(allele frequency shift by S),</w:t>
      </w:r>
    </w:p>
    <w:p>
      <w:pPr>
        <w:pStyle w:val="Compact"/>
        <w:numPr>
          <w:ilvl w:val="0"/>
          <w:numId w:val="1002"/>
        </w:numPr>
      </w:pPr>
      <m:oMath>
        <m:r>
          <m:t>U</m:t>
        </m:r>
        <m:r>
          <m:rPr>
            <m:sty m:val="p"/>
          </m:rPr>
          <m:t>∼</m:t>
        </m:r>
        <m:r>
          <m:rPr>
            <m:sty m:val="p"/>
            <m:scr m:val="script"/>
          </m:rPr>
          <m:t>N</m:t>
        </m:r>
        <m:d>
          <m:dPr>
            <m:begChr m:val="("/>
            <m:sepChr m:val=""/>
            <m:endChr m:val=")"/>
            <m:grow/>
          </m:dPr>
          <m:e>
            <m:r>
              <m:t>0</m:t>
            </m:r>
            <m:r>
              <m:rPr>
                <m:sty m:val="p"/>
              </m:rPr>
              <m:t>,</m:t>
            </m:r>
            <m:r>
              <m:t>1</m:t>
            </m:r>
          </m:e>
        </m:d>
      </m:oMath>
      <w:r>
        <w:t xml:space="preserve">,</w:t>
      </w:r>
    </w:p>
    <w:p>
      <w:pPr>
        <w:pStyle w:val="Compact"/>
        <w:numPr>
          <w:ilvl w:val="0"/>
          <w:numId w:val="1002"/>
        </w:numPr>
      </w:pPr>
      <m:oMath>
        <m:r>
          <m:t>X</m:t>
        </m:r>
        <m:r>
          <m:rPr>
            <m:sty m:val="p"/>
          </m:rPr>
          <m:t>=</m:t>
        </m:r>
        <m:r>
          <m:t>0.6</m:t>
        </m:r>
        <m:r>
          <m:t>G</m:t>
        </m:r>
        <m:r>
          <m:rPr>
            <m:sty m:val="p"/>
          </m:rPr>
          <m:t>+</m:t>
        </m:r>
        <m:r>
          <m:t>U</m:t>
        </m:r>
        <m:r>
          <m:rPr>
            <m:sty m:val="p"/>
          </m:rPr>
          <m:t>+</m:t>
        </m:r>
        <m:sSub>
          <m:e>
            <m:r>
              <m:t>ε</m:t>
            </m:r>
          </m:e>
          <m:sub>
            <m:r>
              <m:t>x</m:t>
            </m:r>
          </m:sub>
        </m:sSub>
      </m:oMath>
      <w:r>
        <w:t xml:space="preserve">,</w:t>
      </w:r>
    </w:p>
    <w:p>
      <w:pPr>
        <w:pStyle w:val="Compact"/>
        <w:numPr>
          <w:ilvl w:val="0"/>
          <w:numId w:val="1002"/>
        </w:numPr>
      </w:pPr>
      <m:oMath>
        <m:r>
          <m:t>Y</m:t>
        </m:r>
        <m:r>
          <m:rPr>
            <m:sty m:val="p"/>
          </m:rPr>
          <m:t>=</m:t>
        </m:r>
        <m:r>
          <m:t>0.8</m:t>
        </m:r>
        <m:r>
          <m:t>X</m:t>
        </m:r>
        <m:r>
          <m:rPr>
            <m:sty m:val="p"/>
          </m:rPr>
          <m:t>+</m:t>
        </m:r>
        <m:r>
          <m:t>0.7</m:t>
        </m:r>
        <m:r>
          <m:rPr>
            <m:sty m:val="p"/>
          </m:rPr>
          <m:t>⋅</m:t>
        </m:r>
        <m:r>
          <m:t>S</m:t>
        </m:r>
        <m:r>
          <m:rPr>
            <m:sty m:val="p"/>
          </m:rPr>
          <m:t>+</m:t>
        </m:r>
        <m:r>
          <m:t>U</m:t>
        </m:r>
        <m:r>
          <m:rPr>
            <m:sty m:val="p"/>
          </m:rPr>
          <m:t>+</m:t>
        </m:r>
        <m:sSub>
          <m:e>
            <m:r>
              <m:t>ε</m:t>
            </m:r>
          </m:e>
          <m:sub>
            <m:r>
              <m:t>y</m:t>
            </m:r>
          </m:sub>
        </m:sSub>
      </m:oMath>
      <w:r>
        <w:t xml:space="preserve">.</w:t>
      </w:r>
    </w:p>
    <w:p>
      <w:pPr>
        <w:pStyle w:val="FirstParagraph"/>
      </w:pPr>
      <w:r>
        <w:t xml:space="preserve">Compare</w:t>
      </w:r>
      <w:r>
        <w:t xml:space="preserve"> </w:t>
      </w:r>
      <w:r>
        <w:rPr>
          <w:b/>
          <w:bCs/>
        </w:rPr>
        <w:t xml:space="preserve">2SLS</w:t>
      </w:r>
      <w:r>
        <w:t xml:space="preserve"> </w:t>
      </w:r>
      <w:r>
        <w:t xml:space="preserve">estimates of</w:t>
      </w:r>
      <w:r>
        <w:t xml:space="preserve"> </w:t>
      </w:r>
      <m:oMath>
        <m:r>
          <m:t>β</m:t>
        </m:r>
      </m:oMath>
      <w:r>
        <w:t xml:space="preserve"> </w:t>
      </w:r>
      <w:r>
        <w:t xml:space="preserve">(a) without</w:t>
      </w:r>
      <w:r>
        <w:t xml:space="preserve"> </w:t>
      </w:r>
      <m:oMath>
        <m:r>
          <m:t>S</m:t>
        </m:r>
      </m:oMath>
      <w:r>
        <w:t xml:space="preserve">, (b) adjusting for</w:t>
      </w:r>
      <w:r>
        <w:t xml:space="preserve"> </w:t>
      </w:r>
      <m:oMath>
        <m:r>
          <m:t>S</m:t>
        </m:r>
      </m:oMath>
      <w:r>
        <w:t xml:space="preserve"> </w:t>
      </w:r>
      <w:r>
        <w:t xml:space="preserve">in both stages. Summarize the bias reduction when accounting for</w:t>
      </w:r>
      <w:r>
        <w:t xml:space="preserve"> </w:t>
      </w:r>
      <m:oMath>
        <m:r>
          <m:t>S</m:t>
        </m:r>
      </m:oMath>
      <w:r>
        <w:t xml:space="preserve">.</w:t>
      </w:r>
    </w:p>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06</dc:title>
  <dc:creator/>
  <cp:keywords/>
  <dcterms:created xsi:type="dcterms:W3CDTF">2025-10-30T15:27:24Z</dcterms:created>
  <dcterms:modified xsi:type="dcterms:W3CDTF">2025-10-30T15:27:24Z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../lectures/references.bib</vt:lpwstr>
  </property>
  <property fmtid="{D5CDD505-2E9C-101B-9397-08002B2CF9AE}" pid="4" name="csl">
    <vt:lpwstr>https://www.zotero.org/styles/biostatistics</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subtitle">
    <vt:lpwstr>PUBH 8878</vt:lpwstr>
  </property>
  <property fmtid="{D5CDD505-2E9C-101B-9397-08002B2CF9AE}" pid="10" name="toc-title">
    <vt:lpwstr>Table of contents</vt:lpwstr>
  </property>
</Properties>
</file>